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E1" w:rsidRDefault="001E5CEF" w:rsidP="001E5CE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ОТЧЕТЕН ДОКЛАД</w:t>
      </w:r>
    </w:p>
    <w:p w:rsidR="001E5CEF" w:rsidRDefault="001E5CEF" w:rsidP="001E5CEF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дейността на Народно читалище „Кирил и Методий</w:t>
      </w:r>
      <w:r w:rsidR="00EC7D4D">
        <w:rPr>
          <w:b/>
          <w:sz w:val="28"/>
          <w:szCs w:val="28"/>
          <w:lang w:val="bg-BG"/>
        </w:rPr>
        <w:t>-1952” с.Егрек през 201</w:t>
      </w:r>
      <w:r w:rsidR="00F92DE3">
        <w:rPr>
          <w:b/>
          <w:sz w:val="28"/>
          <w:szCs w:val="28"/>
        </w:rPr>
        <w:t>9</w:t>
      </w:r>
      <w:r>
        <w:rPr>
          <w:b/>
          <w:sz w:val="28"/>
          <w:szCs w:val="28"/>
          <w:lang w:val="bg-BG"/>
        </w:rPr>
        <w:t xml:space="preserve"> г.</w:t>
      </w:r>
    </w:p>
    <w:p w:rsidR="002A1129" w:rsidRDefault="002A1129" w:rsidP="001E5CEF">
      <w:pPr>
        <w:jc w:val="center"/>
        <w:rPr>
          <w:b/>
          <w:sz w:val="28"/>
          <w:szCs w:val="28"/>
          <w:lang w:val="bg-BG"/>
        </w:rPr>
      </w:pPr>
    </w:p>
    <w:p w:rsidR="001E5CEF" w:rsidRDefault="00CE52F8" w:rsidP="001E5C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EC7D4D">
        <w:rPr>
          <w:sz w:val="24"/>
          <w:szCs w:val="24"/>
          <w:lang w:val="bg-BG"/>
        </w:rPr>
        <w:t>През 201</w:t>
      </w:r>
      <w:r w:rsidR="00F92DE3">
        <w:rPr>
          <w:sz w:val="24"/>
          <w:szCs w:val="24"/>
        </w:rPr>
        <w:t>9</w:t>
      </w:r>
      <w:r w:rsidR="001E5CEF" w:rsidRPr="001E5CEF">
        <w:rPr>
          <w:sz w:val="24"/>
          <w:szCs w:val="24"/>
          <w:lang w:val="bg-BG"/>
        </w:rPr>
        <w:t xml:space="preserve"> година читалището</w:t>
      </w:r>
      <w:r w:rsidR="001E5CEF">
        <w:rPr>
          <w:sz w:val="24"/>
          <w:szCs w:val="24"/>
          <w:lang w:val="bg-BG"/>
        </w:rPr>
        <w:t xml:space="preserve"> осъществяваше дейността си в съгласие със своите програмни цели, заложени в Устава на организацията. Като юридическо лице с нестопанска цел за извършване на общественополезна</w:t>
      </w:r>
      <w:r w:rsidR="00071B39">
        <w:rPr>
          <w:sz w:val="24"/>
          <w:szCs w:val="24"/>
          <w:lang w:val="bg-BG"/>
        </w:rPr>
        <w:t xml:space="preserve"> дейност има следните основни цели:</w:t>
      </w:r>
    </w:p>
    <w:p w:rsidR="001B3F2A" w:rsidRDefault="00071B39" w:rsidP="001E5CEF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1.Развитие и обогатяване на културния живот, социалната и образователна дейност; </w:t>
      </w:r>
      <w:r w:rsidR="00EC7D4D">
        <w:rPr>
          <w:sz w:val="24"/>
          <w:szCs w:val="24"/>
        </w:rPr>
        <w:t xml:space="preserve">    </w:t>
      </w:r>
      <w:r>
        <w:rPr>
          <w:sz w:val="24"/>
          <w:szCs w:val="24"/>
          <w:lang w:val="bg-BG"/>
        </w:rPr>
        <w:t>2.Запазване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обичаите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традициите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българския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народ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  <w:lang w:val="bg-BG"/>
        </w:rPr>
        <w:t xml:space="preserve">                                                        3.Разширяване знанията на гражданите и приобщаването им към ценностите и постиженията на науката, културата и </w:t>
      </w:r>
      <w:r w:rsidR="001B3F2A">
        <w:rPr>
          <w:sz w:val="24"/>
          <w:szCs w:val="24"/>
          <w:lang w:val="bg-BG"/>
        </w:rPr>
        <w:t xml:space="preserve">изкуството;                                                                            </w:t>
      </w:r>
      <w:r w:rsidR="00EC7D4D">
        <w:rPr>
          <w:sz w:val="24"/>
          <w:szCs w:val="24"/>
        </w:rPr>
        <w:t xml:space="preserve">                      </w:t>
      </w:r>
      <w:r w:rsidR="001B3F2A">
        <w:rPr>
          <w:sz w:val="24"/>
          <w:szCs w:val="24"/>
          <w:lang w:val="bg-BG"/>
        </w:rPr>
        <w:t xml:space="preserve"> 4.Възпитаване и утвърждаване на националното самосъзнание;                                                     5.Осигуряване на достъп до информация</w:t>
      </w:r>
      <w:r w:rsidR="00F92DE3">
        <w:rPr>
          <w:sz w:val="24"/>
          <w:szCs w:val="24"/>
        </w:rPr>
        <w:t xml:space="preserve"> </w:t>
      </w:r>
      <w:r w:rsidR="00F92DE3">
        <w:rPr>
          <w:sz w:val="24"/>
          <w:szCs w:val="24"/>
          <w:lang w:val="bg-BG"/>
        </w:rPr>
        <w:t>на гражданите</w:t>
      </w:r>
      <w:r w:rsidR="001B3F2A">
        <w:rPr>
          <w:sz w:val="24"/>
          <w:szCs w:val="24"/>
          <w:lang w:val="bg-BG"/>
        </w:rPr>
        <w:t>;</w:t>
      </w:r>
    </w:p>
    <w:p w:rsidR="00071B39" w:rsidRDefault="001B3F2A" w:rsidP="001B3F2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Читалището:</w:t>
      </w:r>
    </w:p>
    <w:p w:rsidR="00B0282F" w:rsidRDefault="001B3F2A" w:rsidP="001B3F2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1.Поддържа общодостъпна обществена библиотека с присъщите ѝ </w:t>
      </w:r>
      <w:r w:rsidR="00B0282F">
        <w:rPr>
          <w:sz w:val="24"/>
          <w:szCs w:val="24"/>
          <w:lang w:val="bg-BG"/>
        </w:rPr>
        <w:t xml:space="preserve">библиотечно-информационни дейности;                                                                                                                       </w:t>
      </w:r>
      <w:r w:rsidR="00EC7D4D">
        <w:rPr>
          <w:sz w:val="24"/>
          <w:szCs w:val="24"/>
        </w:rPr>
        <w:t xml:space="preserve">                       </w:t>
      </w:r>
      <w:r w:rsidR="00B0282F">
        <w:rPr>
          <w:sz w:val="24"/>
          <w:szCs w:val="24"/>
          <w:lang w:val="bg-BG"/>
        </w:rPr>
        <w:t xml:space="preserve"> 2.Организира културно-просветни мероприятия;                                                                              3.Осъществява консултиране на потребители и посетители на библиотеката;                         4.Създава условия за достъп до глобалната информационна мрежа и информационните технологии чрез интернет комуникация и компютърни услуги;</w:t>
      </w:r>
    </w:p>
    <w:p w:rsidR="0077469C" w:rsidRDefault="00CE52F8" w:rsidP="001B3F2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B0282F">
        <w:rPr>
          <w:sz w:val="24"/>
          <w:szCs w:val="24"/>
          <w:lang w:val="bg-BG"/>
        </w:rPr>
        <w:t>Броят библиотечни</w:t>
      </w:r>
      <w:r w:rsidR="004B3BAE">
        <w:rPr>
          <w:sz w:val="24"/>
          <w:szCs w:val="24"/>
          <w:lang w:val="bg-BG"/>
        </w:rPr>
        <w:t xml:space="preserve"> единици във</w:t>
      </w:r>
      <w:r w:rsidR="00EC7D4D">
        <w:rPr>
          <w:sz w:val="24"/>
          <w:szCs w:val="24"/>
          <w:lang w:val="bg-BG"/>
        </w:rPr>
        <w:t xml:space="preserve"> фонда на библиотеката през 201</w:t>
      </w:r>
      <w:r w:rsidR="00F92DE3">
        <w:rPr>
          <w:sz w:val="24"/>
          <w:szCs w:val="24"/>
          <w:lang w:val="bg-BG"/>
        </w:rPr>
        <w:t>9</w:t>
      </w:r>
      <w:r w:rsidR="00EC7D4D">
        <w:rPr>
          <w:sz w:val="24"/>
          <w:szCs w:val="24"/>
          <w:lang w:val="bg-BG"/>
        </w:rPr>
        <w:t xml:space="preserve"> година наброява </w:t>
      </w:r>
      <w:r w:rsidR="00F92DE3">
        <w:rPr>
          <w:sz w:val="24"/>
          <w:szCs w:val="24"/>
        </w:rPr>
        <w:t>4</w:t>
      </w:r>
      <w:r w:rsidR="00F92DE3">
        <w:rPr>
          <w:sz w:val="24"/>
          <w:szCs w:val="24"/>
          <w:lang w:val="bg-BG"/>
        </w:rPr>
        <w:t>552</w:t>
      </w:r>
      <w:r w:rsidR="004B3BAE">
        <w:rPr>
          <w:sz w:val="24"/>
          <w:szCs w:val="24"/>
          <w:lang w:val="bg-BG"/>
        </w:rPr>
        <w:t xml:space="preserve"> тома литература</w:t>
      </w:r>
      <w:r w:rsidR="00EC7D4D">
        <w:rPr>
          <w:sz w:val="24"/>
          <w:szCs w:val="24"/>
          <w:lang w:val="bg-BG"/>
        </w:rPr>
        <w:t xml:space="preserve">. Читателите през годината са </w:t>
      </w:r>
      <w:r w:rsidR="00F92DE3">
        <w:rPr>
          <w:sz w:val="24"/>
          <w:szCs w:val="24"/>
        </w:rPr>
        <w:t>2</w:t>
      </w:r>
      <w:r w:rsidR="00F92DE3">
        <w:rPr>
          <w:sz w:val="24"/>
          <w:szCs w:val="24"/>
          <w:lang w:val="bg-BG"/>
        </w:rPr>
        <w:t>4</w:t>
      </w:r>
      <w:r w:rsidR="004B3BAE">
        <w:rPr>
          <w:sz w:val="24"/>
          <w:szCs w:val="24"/>
          <w:lang w:val="bg-BG"/>
        </w:rPr>
        <w:t xml:space="preserve"> души, потребителите са </w:t>
      </w:r>
      <w:r w:rsidR="000247A3">
        <w:rPr>
          <w:sz w:val="24"/>
          <w:szCs w:val="24"/>
          <w:lang w:val="bg-BG"/>
        </w:rPr>
        <w:t>139</w:t>
      </w:r>
      <w:r w:rsidR="00D1770F">
        <w:rPr>
          <w:sz w:val="24"/>
          <w:szCs w:val="24"/>
          <w:lang w:val="bg-BG"/>
        </w:rPr>
        <w:t>.</w:t>
      </w:r>
      <w:r w:rsidR="009D76EA">
        <w:rPr>
          <w:sz w:val="24"/>
          <w:szCs w:val="24"/>
        </w:rPr>
        <w:t xml:space="preserve"> </w:t>
      </w:r>
      <w:proofErr w:type="spellStart"/>
      <w:proofErr w:type="gramStart"/>
      <w:r w:rsidR="009D76EA">
        <w:rPr>
          <w:sz w:val="24"/>
          <w:szCs w:val="24"/>
        </w:rPr>
        <w:t>Общо</w:t>
      </w:r>
      <w:proofErr w:type="spellEnd"/>
      <w:r w:rsidR="009D76EA">
        <w:rPr>
          <w:sz w:val="24"/>
          <w:szCs w:val="24"/>
        </w:rPr>
        <w:t xml:space="preserve"> </w:t>
      </w:r>
      <w:proofErr w:type="spellStart"/>
      <w:r w:rsidR="009D76EA">
        <w:rPr>
          <w:sz w:val="24"/>
          <w:szCs w:val="24"/>
        </w:rPr>
        <w:t>регистрираните</w:t>
      </w:r>
      <w:proofErr w:type="spellEnd"/>
      <w:r w:rsidR="009D76EA">
        <w:rPr>
          <w:sz w:val="24"/>
          <w:szCs w:val="24"/>
        </w:rPr>
        <w:t xml:space="preserve"> </w:t>
      </w:r>
      <w:proofErr w:type="spellStart"/>
      <w:r w:rsidR="009D76EA">
        <w:rPr>
          <w:sz w:val="24"/>
          <w:szCs w:val="24"/>
        </w:rPr>
        <w:t>посещения</w:t>
      </w:r>
      <w:proofErr w:type="spellEnd"/>
      <w:r w:rsidR="009D76EA">
        <w:rPr>
          <w:sz w:val="24"/>
          <w:szCs w:val="24"/>
        </w:rPr>
        <w:t xml:space="preserve"> </w:t>
      </w:r>
      <w:proofErr w:type="spellStart"/>
      <w:r w:rsidR="009D76EA">
        <w:rPr>
          <w:sz w:val="24"/>
          <w:szCs w:val="24"/>
        </w:rPr>
        <w:t>за</w:t>
      </w:r>
      <w:proofErr w:type="spellEnd"/>
      <w:r w:rsidR="009D76EA">
        <w:rPr>
          <w:sz w:val="24"/>
          <w:szCs w:val="24"/>
        </w:rPr>
        <w:t xml:space="preserve"> </w:t>
      </w:r>
      <w:proofErr w:type="spellStart"/>
      <w:r w:rsidR="000247A3">
        <w:rPr>
          <w:sz w:val="24"/>
          <w:szCs w:val="24"/>
        </w:rPr>
        <w:t>годината</w:t>
      </w:r>
      <w:proofErr w:type="spellEnd"/>
      <w:r w:rsidR="000247A3">
        <w:rPr>
          <w:sz w:val="24"/>
          <w:szCs w:val="24"/>
        </w:rPr>
        <w:t xml:space="preserve"> </w:t>
      </w:r>
      <w:proofErr w:type="spellStart"/>
      <w:r w:rsidR="000247A3">
        <w:rPr>
          <w:sz w:val="24"/>
          <w:szCs w:val="24"/>
        </w:rPr>
        <w:t>са</w:t>
      </w:r>
      <w:proofErr w:type="spellEnd"/>
      <w:r w:rsidR="000247A3">
        <w:rPr>
          <w:sz w:val="24"/>
          <w:szCs w:val="24"/>
        </w:rPr>
        <w:t xml:space="preserve"> 1</w:t>
      </w:r>
      <w:r w:rsidR="000247A3">
        <w:rPr>
          <w:sz w:val="24"/>
          <w:szCs w:val="24"/>
          <w:lang w:val="bg-BG"/>
        </w:rPr>
        <w:t>241</w:t>
      </w:r>
      <w:r w:rsidR="000247A3">
        <w:rPr>
          <w:sz w:val="24"/>
          <w:szCs w:val="24"/>
        </w:rPr>
        <w:t xml:space="preserve">, </w:t>
      </w:r>
      <w:proofErr w:type="spellStart"/>
      <w:r w:rsidR="000247A3">
        <w:rPr>
          <w:sz w:val="24"/>
          <w:szCs w:val="24"/>
        </w:rPr>
        <w:t>съответно</w:t>
      </w:r>
      <w:proofErr w:type="spellEnd"/>
      <w:r w:rsidR="000247A3">
        <w:rPr>
          <w:sz w:val="24"/>
          <w:szCs w:val="24"/>
        </w:rPr>
        <w:t xml:space="preserve"> </w:t>
      </w:r>
      <w:proofErr w:type="spellStart"/>
      <w:r w:rsidR="000247A3">
        <w:rPr>
          <w:sz w:val="24"/>
          <w:szCs w:val="24"/>
        </w:rPr>
        <w:t>за</w:t>
      </w:r>
      <w:proofErr w:type="spellEnd"/>
      <w:r w:rsidR="000247A3">
        <w:rPr>
          <w:sz w:val="24"/>
          <w:szCs w:val="24"/>
        </w:rPr>
        <w:t xml:space="preserve"> </w:t>
      </w:r>
      <w:proofErr w:type="spellStart"/>
      <w:r w:rsidR="000247A3">
        <w:rPr>
          <w:sz w:val="24"/>
          <w:szCs w:val="24"/>
        </w:rPr>
        <w:t>дома</w:t>
      </w:r>
      <w:proofErr w:type="spellEnd"/>
      <w:r w:rsidR="000247A3">
        <w:rPr>
          <w:sz w:val="24"/>
          <w:szCs w:val="24"/>
        </w:rPr>
        <w:t xml:space="preserve"> </w:t>
      </w:r>
      <w:r w:rsidR="00FA5050">
        <w:rPr>
          <w:sz w:val="24"/>
          <w:szCs w:val="24"/>
        </w:rPr>
        <w:t>9</w:t>
      </w:r>
      <w:r w:rsidR="000247A3">
        <w:rPr>
          <w:sz w:val="24"/>
          <w:szCs w:val="24"/>
          <w:lang w:val="bg-BG"/>
        </w:rPr>
        <w:t>3</w:t>
      </w:r>
      <w:r w:rsidR="009D76EA">
        <w:rPr>
          <w:sz w:val="24"/>
          <w:szCs w:val="24"/>
        </w:rPr>
        <w:t>, а</w:t>
      </w:r>
      <w:r>
        <w:rPr>
          <w:sz w:val="24"/>
          <w:szCs w:val="24"/>
          <w:lang w:val="bg-BG"/>
        </w:rPr>
        <w:t xml:space="preserve"> в</w:t>
      </w:r>
      <w:r w:rsidR="009D76EA">
        <w:rPr>
          <w:sz w:val="24"/>
          <w:szCs w:val="24"/>
        </w:rPr>
        <w:t xml:space="preserve"> </w:t>
      </w:r>
      <w:proofErr w:type="spellStart"/>
      <w:r w:rsidR="009D76EA">
        <w:rPr>
          <w:sz w:val="24"/>
          <w:szCs w:val="24"/>
        </w:rPr>
        <w:t>читалня</w:t>
      </w:r>
      <w:proofErr w:type="spellEnd"/>
      <w:r w:rsidR="009D76EA">
        <w:rPr>
          <w:sz w:val="24"/>
          <w:szCs w:val="24"/>
          <w:lang w:val="bg-BG"/>
        </w:rPr>
        <w:t>-</w:t>
      </w:r>
      <w:r w:rsidR="000247A3">
        <w:rPr>
          <w:sz w:val="24"/>
          <w:szCs w:val="24"/>
        </w:rPr>
        <w:t>11</w:t>
      </w:r>
      <w:r w:rsidR="000247A3">
        <w:rPr>
          <w:sz w:val="24"/>
          <w:szCs w:val="24"/>
          <w:lang w:val="bg-BG"/>
        </w:rPr>
        <w:t>48</w:t>
      </w:r>
      <w:r w:rsidR="009D76EA">
        <w:rPr>
          <w:sz w:val="24"/>
          <w:szCs w:val="24"/>
          <w:lang w:val="bg-BG"/>
        </w:rPr>
        <w:t>.</w:t>
      </w:r>
      <w:proofErr w:type="gramEnd"/>
      <w:r w:rsidR="009D76EA">
        <w:rPr>
          <w:sz w:val="24"/>
          <w:szCs w:val="24"/>
          <w:lang w:val="bg-BG"/>
        </w:rPr>
        <w:t xml:space="preserve"> </w:t>
      </w:r>
      <w:r w:rsidR="002A1129">
        <w:rPr>
          <w:sz w:val="24"/>
          <w:szCs w:val="24"/>
          <w:lang w:val="bg-BG"/>
        </w:rPr>
        <w:t xml:space="preserve">                       </w:t>
      </w:r>
      <w:r w:rsidR="009D76EA">
        <w:rPr>
          <w:sz w:val="24"/>
          <w:szCs w:val="24"/>
          <w:lang w:val="bg-BG"/>
        </w:rPr>
        <w:t xml:space="preserve"> Библиотеката продължава съвместната си работа</w:t>
      </w:r>
      <w:r w:rsidR="00BF401B">
        <w:rPr>
          <w:sz w:val="24"/>
          <w:szCs w:val="24"/>
          <w:lang w:val="bg-BG"/>
        </w:rPr>
        <w:t xml:space="preserve"> с Фондация „Глобални библиотеки” –</w:t>
      </w:r>
      <w:r w:rsidR="002A1129">
        <w:rPr>
          <w:sz w:val="24"/>
          <w:szCs w:val="24"/>
          <w:lang w:val="bg-BG"/>
        </w:rPr>
        <w:t xml:space="preserve"> </w:t>
      </w:r>
      <w:r w:rsidR="00BF401B">
        <w:rPr>
          <w:sz w:val="24"/>
          <w:szCs w:val="24"/>
          <w:lang w:val="bg-BG"/>
        </w:rPr>
        <w:t>България. Техническото оборудване на библиотеката позволява, читателските запитвания и търсения да бъдат изпълнявани не само по традиционния заемен начин в чит</w:t>
      </w:r>
      <w:r w:rsidR="00576D4D">
        <w:rPr>
          <w:sz w:val="24"/>
          <w:szCs w:val="24"/>
          <w:lang w:val="bg-BG"/>
        </w:rPr>
        <w:t xml:space="preserve">алня, а да се търсят материали </w:t>
      </w:r>
      <w:r w:rsidR="00BF401B">
        <w:rPr>
          <w:sz w:val="24"/>
          <w:szCs w:val="24"/>
          <w:lang w:val="bg-BG"/>
        </w:rPr>
        <w:t>и в специализирани сайтове. Библиотеката е оборудвана с две компютърни рабо</w:t>
      </w:r>
      <w:r w:rsidR="0077469C">
        <w:rPr>
          <w:sz w:val="24"/>
          <w:szCs w:val="24"/>
          <w:lang w:val="bg-BG"/>
        </w:rPr>
        <w:t>тни места с достъп до интернет. Също разполага с два броя копирна апаратура.</w:t>
      </w:r>
    </w:p>
    <w:p w:rsidR="00D357D6" w:rsidRDefault="0077469C" w:rsidP="00CD4F32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Читалището се стреми да съхрани българските народни традиции и обичаи. Взема участие в традиционните селищни празници и мероприятия.</w:t>
      </w:r>
      <w:r w:rsidR="00FA5050">
        <w:rPr>
          <w:sz w:val="24"/>
          <w:szCs w:val="24"/>
          <w:lang w:val="bg-BG"/>
        </w:rPr>
        <w:t xml:space="preserve"> През 201</w:t>
      </w:r>
      <w:r w:rsidR="00576D4D">
        <w:rPr>
          <w:sz w:val="24"/>
          <w:szCs w:val="24"/>
        </w:rPr>
        <w:t>9</w:t>
      </w:r>
      <w:r w:rsidR="003171E7">
        <w:rPr>
          <w:sz w:val="24"/>
          <w:szCs w:val="24"/>
          <w:lang w:val="bg-BG"/>
        </w:rPr>
        <w:t xml:space="preserve"> г. </w:t>
      </w:r>
      <w:r w:rsidR="00576D4D">
        <w:rPr>
          <w:sz w:val="24"/>
          <w:szCs w:val="24"/>
          <w:lang w:val="bg-BG"/>
        </w:rPr>
        <w:t>към читалището имаше Смесена</w:t>
      </w:r>
      <w:r w:rsidR="00D45A8A">
        <w:rPr>
          <w:sz w:val="24"/>
          <w:szCs w:val="24"/>
          <w:lang w:val="bg-BG"/>
        </w:rPr>
        <w:t xml:space="preserve"> фол</w:t>
      </w:r>
      <w:r w:rsidR="00576D4D">
        <w:rPr>
          <w:sz w:val="24"/>
          <w:szCs w:val="24"/>
          <w:lang w:val="bg-BG"/>
        </w:rPr>
        <w:t>клорна група която</w:t>
      </w:r>
      <w:r w:rsidR="00D357D6">
        <w:rPr>
          <w:sz w:val="24"/>
          <w:szCs w:val="24"/>
          <w:lang w:val="bg-BG"/>
        </w:rPr>
        <w:t xml:space="preserve"> взе участие на:</w:t>
      </w:r>
    </w:p>
    <w:p w:rsidR="00576D4D" w:rsidRDefault="00576D4D" w:rsidP="00576D4D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Събора на народното творчество</w:t>
      </w:r>
      <w:r w:rsidR="00131206">
        <w:rPr>
          <w:sz w:val="24"/>
          <w:szCs w:val="24"/>
          <w:lang w:val="bg-BG"/>
        </w:rPr>
        <w:t xml:space="preserve">  Крумовград 2019 – I</w:t>
      </w:r>
      <w:r w:rsidR="00131206">
        <w:rPr>
          <w:sz w:val="24"/>
          <w:szCs w:val="24"/>
          <w:vertAlign w:val="superscript"/>
        </w:rPr>
        <w:t>-</w:t>
      </w:r>
      <w:proofErr w:type="spellStart"/>
      <w:r w:rsidR="00131206">
        <w:rPr>
          <w:sz w:val="24"/>
          <w:szCs w:val="24"/>
          <w:vertAlign w:val="superscript"/>
        </w:rPr>
        <w:t>во</w:t>
      </w:r>
      <w:proofErr w:type="spellEnd"/>
      <w:r w:rsidR="00131206">
        <w:rPr>
          <w:sz w:val="24"/>
          <w:szCs w:val="24"/>
          <w:vertAlign w:val="superscript"/>
        </w:rPr>
        <w:t xml:space="preserve"> </w:t>
      </w:r>
      <w:r w:rsidR="00131206">
        <w:rPr>
          <w:sz w:val="24"/>
          <w:szCs w:val="24"/>
          <w:vertAlign w:val="superscript"/>
          <w:lang w:val="bg-BG"/>
        </w:rPr>
        <w:t xml:space="preserve"> </w:t>
      </w:r>
      <w:r w:rsidR="00131206">
        <w:rPr>
          <w:sz w:val="24"/>
          <w:szCs w:val="24"/>
          <w:lang w:val="bg-BG"/>
        </w:rPr>
        <w:t>място;</w:t>
      </w:r>
    </w:p>
    <w:p w:rsidR="00131206" w:rsidRPr="00576D4D" w:rsidRDefault="00131206" w:rsidP="00576D4D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</w:rPr>
        <w:lastRenderedPageBreak/>
        <w:t xml:space="preserve">VIII </w:t>
      </w:r>
      <w:proofErr w:type="spellStart"/>
      <w:r>
        <w:rPr>
          <w:sz w:val="24"/>
          <w:szCs w:val="24"/>
        </w:rPr>
        <w:t>Балкански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шампионат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фолклор</w:t>
      </w:r>
      <w:proofErr w:type="spellEnd"/>
      <w:r>
        <w:rPr>
          <w:sz w:val="24"/>
          <w:szCs w:val="24"/>
        </w:rPr>
        <w:t xml:space="preserve"> </w:t>
      </w:r>
      <w:r w:rsidR="006E3E82">
        <w:rPr>
          <w:sz w:val="24"/>
          <w:szCs w:val="24"/>
          <w:lang w:val="bg-BG"/>
        </w:rPr>
        <w:t>„</w:t>
      </w:r>
      <w:r>
        <w:rPr>
          <w:sz w:val="24"/>
          <w:szCs w:val="24"/>
          <w:lang w:val="bg-BG"/>
        </w:rPr>
        <w:t>Евро фолк – Жива вода 2019”</w:t>
      </w:r>
      <w:r w:rsidR="006E3E82">
        <w:rPr>
          <w:sz w:val="24"/>
          <w:szCs w:val="24"/>
          <w:lang w:val="bg-BG"/>
        </w:rPr>
        <w:t xml:space="preserve"> гр. Хисаря – златен медал и препоръка за участие на Европейския шампионат по фолклор „</w:t>
      </w:r>
      <w:proofErr w:type="spellStart"/>
      <w:r w:rsidR="006E3E82">
        <w:rPr>
          <w:sz w:val="24"/>
          <w:szCs w:val="24"/>
          <w:lang w:val="bg-BG"/>
        </w:rPr>
        <w:t>Euro</w:t>
      </w:r>
      <w:proofErr w:type="spellEnd"/>
      <w:r w:rsidR="006E3E82">
        <w:rPr>
          <w:sz w:val="24"/>
          <w:szCs w:val="24"/>
          <w:lang w:val="bg-BG"/>
        </w:rPr>
        <w:t xml:space="preserve"> </w:t>
      </w:r>
      <w:r w:rsidR="006E3E82">
        <w:rPr>
          <w:sz w:val="24"/>
          <w:szCs w:val="24"/>
        </w:rPr>
        <w:t>F</w:t>
      </w:r>
      <w:proofErr w:type="spellStart"/>
      <w:r w:rsidR="006E3E82">
        <w:rPr>
          <w:sz w:val="24"/>
          <w:szCs w:val="24"/>
          <w:lang w:val="bg-BG"/>
        </w:rPr>
        <w:t>olk</w:t>
      </w:r>
      <w:proofErr w:type="spellEnd"/>
      <w:r w:rsidR="006E3E82">
        <w:rPr>
          <w:sz w:val="24"/>
          <w:szCs w:val="24"/>
        </w:rPr>
        <w:t>”</w:t>
      </w:r>
      <w:r w:rsidR="006E3E82">
        <w:rPr>
          <w:sz w:val="24"/>
          <w:szCs w:val="24"/>
          <w:lang w:val="bg-BG"/>
        </w:rPr>
        <w:t xml:space="preserve"> в Несебър и Слънчев бряг;</w:t>
      </w:r>
    </w:p>
    <w:p w:rsidR="007F013B" w:rsidRDefault="00D357D6" w:rsidP="005B404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Национални</w:t>
      </w:r>
      <w:r w:rsidR="00576D4D">
        <w:rPr>
          <w:sz w:val="24"/>
          <w:szCs w:val="24"/>
          <w:lang w:val="bg-BG"/>
        </w:rPr>
        <w:t>я тракийски събор „Кърджали 2019</w:t>
      </w:r>
      <w:r>
        <w:rPr>
          <w:sz w:val="24"/>
          <w:szCs w:val="24"/>
          <w:lang w:val="bg-BG"/>
        </w:rPr>
        <w:t>”</w:t>
      </w:r>
      <w:r w:rsidR="00AA7EBC">
        <w:rPr>
          <w:sz w:val="24"/>
          <w:szCs w:val="24"/>
          <w:lang w:val="bg-BG"/>
        </w:rPr>
        <w:t xml:space="preserve">; </w:t>
      </w:r>
    </w:p>
    <w:p w:rsidR="006E3E82" w:rsidRPr="007F013B" w:rsidRDefault="006E3E82" w:rsidP="005B404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Събора на народното творчество и животновъдство </w:t>
      </w:r>
      <w:r w:rsidR="00AA7EBC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Рожен</w:t>
      </w:r>
      <w:r w:rsidR="00AA7EBC">
        <w:rPr>
          <w:sz w:val="24"/>
          <w:szCs w:val="24"/>
          <w:lang w:val="bg-BG"/>
        </w:rPr>
        <w:t>;</w:t>
      </w:r>
    </w:p>
    <w:p w:rsidR="00333A0B" w:rsidRPr="006E3E82" w:rsidRDefault="00AA7EBC" w:rsidP="006E3E82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Традиционния селищен празник – </w:t>
      </w:r>
      <w:r w:rsidR="00333A0B" w:rsidRPr="006E3E82">
        <w:rPr>
          <w:sz w:val="24"/>
          <w:szCs w:val="24"/>
          <w:lang w:val="bg-BG"/>
        </w:rPr>
        <w:t>с. Черничево</w:t>
      </w:r>
      <w:r>
        <w:rPr>
          <w:sz w:val="24"/>
          <w:szCs w:val="24"/>
          <w:lang w:val="bg-BG"/>
        </w:rPr>
        <w:t xml:space="preserve">;   </w:t>
      </w:r>
    </w:p>
    <w:p w:rsidR="00CD4F32" w:rsidRDefault="0012215D" w:rsidP="00D357D6">
      <w:pPr>
        <w:pStyle w:val="a3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Традиционния</w:t>
      </w:r>
      <w:r w:rsidR="00333A0B">
        <w:rPr>
          <w:sz w:val="24"/>
          <w:szCs w:val="24"/>
          <w:lang w:val="bg-BG"/>
        </w:rPr>
        <w:t xml:space="preserve"> селищен празник – с. Егрек</w:t>
      </w:r>
      <w:r w:rsidR="00AA7EBC">
        <w:rPr>
          <w:sz w:val="24"/>
          <w:szCs w:val="24"/>
          <w:lang w:val="bg-BG"/>
        </w:rPr>
        <w:t>.</w:t>
      </w:r>
      <w:r w:rsidR="00CD4F32">
        <w:rPr>
          <w:sz w:val="24"/>
          <w:szCs w:val="24"/>
          <w:lang w:val="bg-BG"/>
        </w:rPr>
        <w:t xml:space="preserve"> </w:t>
      </w:r>
    </w:p>
    <w:p w:rsidR="00FA2678" w:rsidRDefault="00AA7EBC" w:rsidP="00EF64F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2019</w:t>
      </w:r>
      <w:r w:rsidR="00FA2678">
        <w:rPr>
          <w:sz w:val="24"/>
          <w:szCs w:val="24"/>
          <w:lang w:val="bg-BG"/>
        </w:rPr>
        <w:t xml:space="preserve"> г. НЧ „Кирил и Методий-1952” организира следните събития:</w:t>
      </w:r>
    </w:p>
    <w:p w:rsidR="00FA2678" w:rsidRDefault="00FA2678" w:rsidP="00E049B5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Баба Марта</w:t>
      </w:r>
      <w:r w:rsidR="00E049B5">
        <w:rPr>
          <w:sz w:val="24"/>
          <w:szCs w:val="24"/>
          <w:lang w:val="bg-BG"/>
        </w:rPr>
        <w:t>;</w:t>
      </w:r>
    </w:p>
    <w:p w:rsidR="00FA2678" w:rsidRDefault="00FA2678" w:rsidP="00E049B5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Осми март – международен ден на жената</w:t>
      </w:r>
      <w:r w:rsidR="00E049B5">
        <w:rPr>
          <w:sz w:val="24"/>
          <w:szCs w:val="24"/>
          <w:lang w:val="bg-BG"/>
        </w:rPr>
        <w:t>;</w:t>
      </w:r>
    </w:p>
    <w:p w:rsidR="007F013B" w:rsidRPr="00E049B5" w:rsidRDefault="007F013B" w:rsidP="00E049B5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bg-BG"/>
        </w:rPr>
      </w:pPr>
      <w:r w:rsidRPr="00E049B5">
        <w:rPr>
          <w:sz w:val="24"/>
          <w:szCs w:val="24"/>
          <w:lang w:val="bg-BG"/>
        </w:rPr>
        <w:t>Великден</w:t>
      </w:r>
      <w:r w:rsidR="00E049B5" w:rsidRPr="00E049B5">
        <w:rPr>
          <w:sz w:val="24"/>
          <w:szCs w:val="24"/>
          <w:lang w:val="bg-BG"/>
        </w:rPr>
        <w:t>;</w:t>
      </w:r>
    </w:p>
    <w:p w:rsidR="006E183E" w:rsidRPr="00E049B5" w:rsidRDefault="00E049B5" w:rsidP="00E049B5">
      <w:pPr>
        <w:spacing w:after="0"/>
        <w:ind w:left="36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-     </w:t>
      </w:r>
      <w:r w:rsidR="007F013B" w:rsidRPr="00E049B5">
        <w:rPr>
          <w:sz w:val="24"/>
          <w:szCs w:val="24"/>
          <w:lang w:val="bg-BG"/>
        </w:rPr>
        <w:t>Ден на библиотекаря</w:t>
      </w:r>
      <w:r w:rsidRPr="00E049B5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-     </w:t>
      </w:r>
      <w:r w:rsidR="006E183E" w:rsidRPr="00E049B5">
        <w:rPr>
          <w:sz w:val="24"/>
          <w:szCs w:val="24"/>
          <w:lang w:val="bg-BG"/>
        </w:rPr>
        <w:t>24-ти май – ден на Славянската писменост и култура</w:t>
      </w:r>
      <w:r w:rsidRPr="00E049B5">
        <w:rPr>
          <w:sz w:val="24"/>
          <w:szCs w:val="24"/>
          <w:lang w:val="bg-BG"/>
        </w:rPr>
        <w:t>;</w:t>
      </w:r>
    </w:p>
    <w:p w:rsidR="006E183E" w:rsidRPr="00E049B5" w:rsidRDefault="00E049B5" w:rsidP="00E049B5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-     </w:t>
      </w:r>
      <w:r w:rsidR="006E183E" w:rsidRPr="00E049B5">
        <w:rPr>
          <w:sz w:val="24"/>
          <w:szCs w:val="24"/>
          <w:lang w:val="bg-BG"/>
        </w:rPr>
        <w:t>Оказване на съдействие при организирането на празника на селото</w:t>
      </w:r>
      <w:r w:rsidRPr="00E049B5">
        <w:rPr>
          <w:sz w:val="24"/>
          <w:szCs w:val="24"/>
          <w:lang w:val="bg-BG"/>
        </w:rPr>
        <w:t>;</w:t>
      </w:r>
    </w:p>
    <w:p w:rsidR="007F013B" w:rsidRDefault="007F013B" w:rsidP="00E049B5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Седмица на националното четене</w:t>
      </w:r>
      <w:r w:rsidR="00E049B5">
        <w:rPr>
          <w:sz w:val="24"/>
          <w:szCs w:val="24"/>
          <w:lang w:val="bg-BG"/>
        </w:rPr>
        <w:t>;</w:t>
      </w:r>
    </w:p>
    <w:p w:rsidR="00E049B5" w:rsidRDefault="00E049B5" w:rsidP="00E049B5">
      <w:pPr>
        <w:pStyle w:val="a3"/>
        <w:numPr>
          <w:ilvl w:val="0"/>
          <w:numId w:val="1"/>
        </w:num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Оказване на съдействие при организирането на коледно-новогодишното тържество.</w:t>
      </w:r>
    </w:p>
    <w:p w:rsidR="00E049B5" w:rsidRPr="00FA2678" w:rsidRDefault="00E049B5" w:rsidP="00E049B5">
      <w:pPr>
        <w:pStyle w:val="a3"/>
        <w:spacing w:after="0"/>
        <w:rPr>
          <w:sz w:val="24"/>
          <w:szCs w:val="24"/>
          <w:lang w:val="bg-BG"/>
        </w:rPr>
      </w:pPr>
    </w:p>
    <w:p w:rsidR="00FE342B" w:rsidRPr="00FE342B" w:rsidRDefault="00FE342B" w:rsidP="00EF64F0">
      <w:pPr>
        <w:spacing w:after="0"/>
        <w:rPr>
          <w:sz w:val="24"/>
          <w:szCs w:val="24"/>
          <w:lang w:val="bg-BG"/>
        </w:rPr>
      </w:pPr>
      <w:r w:rsidRPr="00FE342B">
        <w:rPr>
          <w:sz w:val="24"/>
          <w:szCs w:val="24"/>
          <w:lang w:val="bg-BG"/>
        </w:rPr>
        <w:t>През</w:t>
      </w:r>
      <w:r w:rsidR="00E049B5">
        <w:rPr>
          <w:sz w:val="24"/>
          <w:szCs w:val="24"/>
          <w:lang w:val="bg-BG"/>
        </w:rPr>
        <w:t xml:space="preserve"> 2019</w:t>
      </w:r>
      <w:r>
        <w:rPr>
          <w:sz w:val="24"/>
          <w:szCs w:val="24"/>
          <w:lang w:val="bg-BG"/>
        </w:rPr>
        <w:t xml:space="preserve"> г</w:t>
      </w:r>
      <w:r w:rsidR="001B540E">
        <w:rPr>
          <w:sz w:val="24"/>
          <w:szCs w:val="24"/>
          <w:lang w:val="bg-BG"/>
        </w:rPr>
        <w:t xml:space="preserve">. читалището взе участие и в </w:t>
      </w:r>
      <w:r w:rsidR="00EF64F0">
        <w:rPr>
          <w:sz w:val="24"/>
          <w:szCs w:val="24"/>
          <w:lang w:val="bg-BG"/>
        </w:rPr>
        <w:t xml:space="preserve"> благотворителната</w:t>
      </w:r>
      <w:r>
        <w:rPr>
          <w:sz w:val="24"/>
          <w:szCs w:val="24"/>
          <w:lang w:val="bg-BG"/>
        </w:rPr>
        <w:t xml:space="preserve"> </w:t>
      </w:r>
      <w:r w:rsidR="00EF64F0">
        <w:rPr>
          <w:sz w:val="24"/>
          <w:szCs w:val="24"/>
          <w:lang w:val="bg-BG"/>
        </w:rPr>
        <w:t xml:space="preserve">кампания </w:t>
      </w:r>
      <w:r w:rsidR="001B540E">
        <w:rPr>
          <w:sz w:val="24"/>
          <w:szCs w:val="24"/>
          <w:lang w:val="bg-BG"/>
        </w:rPr>
        <w:t xml:space="preserve"> „</w:t>
      </w:r>
      <w:r w:rsidR="00EF64F0">
        <w:rPr>
          <w:sz w:val="24"/>
          <w:szCs w:val="24"/>
          <w:lang w:val="bg-BG"/>
        </w:rPr>
        <w:t>Дари капачка – помогни за живот</w:t>
      </w:r>
      <w:r w:rsidR="001B540E">
        <w:rPr>
          <w:sz w:val="24"/>
          <w:szCs w:val="24"/>
          <w:lang w:val="bg-BG"/>
        </w:rPr>
        <w:t>”</w:t>
      </w:r>
      <w:r>
        <w:rPr>
          <w:sz w:val="24"/>
          <w:szCs w:val="24"/>
          <w:lang w:val="bg-BG"/>
        </w:rPr>
        <w:t>.</w:t>
      </w:r>
      <w:r w:rsidR="00EF64F0">
        <w:rPr>
          <w:sz w:val="24"/>
          <w:szCs w:val="24"/>
          <w:lang w:val="bg-BG"/>
        </w:rPr>
        <w:t xml:space="preserve">  Бяха събрани капачки и </w:t>
      </w:r>
      <w:r w:rsidR="005E34D1">
        <w:rPr>
          <w:sz w:val="24"/>
          <w:szCs w:val="24"/>
          <w:lang w:val="bg-BG"/>
        </w:rPr>
        <w:t>и</w:t>
      </w:r>
      <w:r w:rsidR="002A1129">
        <w:rPr>
          <w:sz w:val="24"/>
          <w:szCs w:val="24"/>
          <w:lang w:val="bg-BG"/>
        </w:rPr>
        <w:t>зпратени в гр. Крумов</w:t>
      </w:r>
      <w:r w:rsidR="00EF64F0">
        <w:rPr>
          <w:sz w:val="24"/>
          <w:szCs w:val="24"/>
          <w:lang w:val="bg-BG"/>
        </w:rPr>
        <w:t>град</w:t>
      </w:r>
      <w:r w:rsidR="005E34D1">
        <w:rPr>
          <w:sz w:val="24"/>
          <w:szCs w:val="24"/>
          <w:lang w:val="bg-BG"/>
        </w:rPr>
        <w:t>.</w:t>
      </w:r>
    </w:p>
    <w:p w:rsidR="004A2CB5" w:rsidRDefault="00FE342B" w:rsidP="004A2CB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="00CE52F8">
        <w:rPr>
          <w:sz w:val="24"/>
          <w:szCs w:val="24"/>
          <w:lang w:val="bg-BG"/>
        </w:rPr>
        <w:t xml:space="preserve"> </w:t>
      </w:r>
      <w:r w:rsidR="004A2CB5">
        <w:rPr>
          <w:sz w:val="24"/>
          <w:szCs w:val="24"/>
          <w:lang w:val="bg-BG"/>
        </w:rPr>
        <w:t xml:space="preserve"> Отчитаме, че постигнатото не е малко.  През следващата год</w:t>
      </w:r>
      <w:r w:rsidR="0012215D">
        <w:rPr>
          <w:sz w:val="24"/>
          <w:szCs w:val="24"/>
          <w:lang w:val="bg-BG"/>
        </w:rPr>
        <w:t>ина читалището</w:t>
      </w:r>
      <w:r w:rsidR="004A2CB5">
        <w:rPr>
          <w:sz w:val="24"/>
          <w:szCs w:val="24"/>
          <w:lang w:val="bg-BG"/>
        </w:rPr>
        <w:t xml:space="preserve"> ще работи за постигане на още по-добри резултати</w:t>
      </w:r>
      <w:r w:rsidR="0012215D">
        <w:rPr>
          <w:sz w:val="24"/>
          <w:szCs w:val="24"/>
          <w:lang w:val="bg-BG"/>
        </w:rPr>
        <w:t xml:space="preserve"> при условие, че има възможност за това</w:t>
      </w:r>
      <w:r w:rsidR="004A2CB5">
        <w:rPr>
          <w:sz w:val="24"/>
          <w:szCs w:val="24"/>
          <w:lang w:val="bg-BG"/>
        </w:rPr>
        <w:t>. Утвърждава се мястото на читалището като обществено-значима институция със собствен принос в полза на жителите</w:t>
      </w:r>
      <w:r w:rsidR="00EF64F0">
        <w:rPr>
          <w:sz w:val="24"/>
          <w:szCs w:val="24"/>
          <w:lang w:val="bg-BG"/>
        </w:rPr>
        <w:t xml:space="preserve"> и гостите</w:t>
      </w:r>
      <w:r w:rsidR="004A2CB5">
        <w:rPr>
          <w:sz w:val="24"/>
          <w:szCs w:val="24"/>
          <w:lang w:val="bg-BG"/>
        </w:rPr>
        <w:t xml:space="preserve"> на с.</w:t>
      </w:r>
      <w:r w:rsidR="00EF64F0">
        <w:rPr>
          <w:sz w:val="24"/>
          <w:szCs w:val="24"/>
          <w:lang w:val="bg-BG"/>
        </w:rPr>
        <w:t xml:space="preserve"> </w:t>
      </w:r>
      <w:r w:rsidR="004A2CB5">
        <w:rPr>
          <w:sz w:val="24"/>
          <w:szCs w:val="24"/>
          <w:lang w:val="bg-BG"/>
        </w:rPr>
        <w:t>Егрек. Ръководството и служителите на читалището продължават да работят в посока на подобряване на предлаганите услуги, с цел привличане на нови потребители.</w:t>
      </w:r>
    </w:p>
    <w:p w:rsidR="004A2CB5" w:rsidRDefault="004A2CB5" w:rsidP="004A2CB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През изминалата година читалището работи по утвърдени субсидии, отпуснати от държавния бюджет</w:t>
      </w:r>
      <w:r w:rsidR="009706BC">
        <w:rPr>
          <w:sz w:val="24"/>
          <w:szCs w:val="24"/>
          <w:lang w:val="bg-BG"/>
        </w:rPr>
        <w:t>, дарения</w:t>
      </w:r>
      <w:r w:rsidR="002E5287">
        <w:rPr>
          <w:sz w:val="24"/>
          <w:szCs w:val="24"/>
        </w:rPr>
        <w:t xml:space="preserve"> и </w:t>
      </w:r>
      <w:proofErr w:type="spellStart"/>
      <w:r w:rsidR="002E5287">
        <w:rPr>
          <w:sz w:val="24"/>
          <w:szCs w:val="24"/>
        </w:rPr>
        <w:t>собствени</w:t>
      </w:r>
      <w:proofErr w:type="spellEnd"/>
      <w:r w:rsidR="002E5287">
        <w:rPr>
          <w:sz w:val="24"/>
          <w:szCs w:val="24"/>
        </w:rPr>
        <w:t xml:space="preserve"> </w:t>
      </w:r>
      <w:proofErr w:type="spellStart"/>
      <w:r w:rsidR="002E5287">
        <w:rPr>
          <w:sz w:val="24"/>
          <w:szCs w:val="24"/>
        </w:rPr>
        <w:t>приходи</w:t>
      </w:r>
      <w:proofErr w:type="spellEnd"/>
      <w:r>
        <w:rPr>
          <w:sz w:val="24"/>
          <w:szCs w:val="24"/>
          <w:lang w:val="bg-BG"/>
        </w:rPr>
        <w:t>.</w:t>
      </w:r>
    </w:p>
    <w:p w:rsidR="004A2CB5" w:rsidRDefault="0012215D" w:rsidP="004A2CB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Държавната субсидия за 2019</w:t>
      </w:r>
      <w:r w:rsidR="009706BC">
        <w:rPr>
          <w:sz w:val="24"/>
          <w:szCs w:val="24"/>
          <w:lang w:val="bg-BG"/>
        </w:rPr>
        <w:t xml:space="preserve"> година беше на стойност 1</w:t>
      </w:r>
      <w:r>
        <w:rPr>
          <w:sz w:val="24"/>
          <w:szCs w:val="24"/>
          <w:lang w:val="bg-BG"/>
        </w:rPr>
        <w:t>4</w:t>
      </w:r>
      <w:r w:rsidR="009706BC">
        <w:rPr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>35</w:t>
      </w:r>
      <w:r w:rsidR="004A2CB5">
        <w:rPr>
          <w:sz w:val="24"/>
          <w:szCs w:val="24"/>
          <w:lang w:val="bg-BG"/>
        </w:rPr>
        <w:t>,00 лева,</w:t>
      </w:r>
      <w:r>
        <w:rPr>
          <w:sz w:val="24"/>
          <w:szCs w:val="24"/>
          <w:lang w:val="bg-BG"/>
        </w:rPr>
        <w:t xml:space="preserve"> от дарения – 300</w:t>
      </w:r>
      <w:r w:rsidR="009706BC">
        <w:rPr>
          <w:sz w:val="24"/>
          <w:szCs w:val="24"/>
          <w:lang w:val="bg-BG"/>
        </w:rPr>
        <w:t>,00 лева</w:t>
      </w:r>
      <w:r>
        <w:rPr>
          <w:sz w:val="24"/>
          <w:szCs w:val="24"/>
          <w:lang w:val="bg-BG"/>
        </w:rPr>
        <w:t>,</w:t>
      </w:r>
      <w:r w:rsidR="004A2CB5">
        <w:rPr>
          <w:sz w:val="24"/>
          <w:szCs w:val="24"/>
          <w:lang w:val="bg-BG"/>
        </w:rPr>
        <w:t xml:space="preserve"> а соб</w:t>
      </w:r>
      <w:r w:rsidR="009706BC">
        <w:rPr>
          <w:sz w:val="24"/>
          <w:szCs w:val="24"/>
          <w:lang w:val="bg-BG"/>
        </w:rPr>
        <w:t>ствените приходи</w:t>
      </w:r>
      <w:r>
        <w:rPr>
          <w:sz w:val="24"/>
          <w:szCs w:val="24"/>
          <w:lang w:val="bg-BG"/>
        </w:rPr>
        <w:t xml:space="preserve"> бяха на стойност 153</w:t>
      </w:r>
      <w:r w:rsidR="009706BC">
        <w:rPr>
          <w:sz w:val="24"/>
          <w:szCs w:val="24"/>
          <w:lang w:val="bg-BG"/>
        </w:rPr>
        <w:t>,0</w:t>
      </w:r>
      <w:r w:rsidR="004A2CB5">
        <w:rPr>
          <w:sz w:val="24"/>
          <w:szCs w:val="24"/>
          <w:lang w:val="bg-BG"/>
        </w:rPr>
        <w:t>0 л</w:t>
      </w:r>
      <w:r w:rsidR="009706BC">
        <w:rPr>
          <w:sz w:val="24"/>
          <w:szCs w:val="24"/>
          <w:lang w:val="bg-BG"/>
        </w:rPr>
        <w:t>е</w:t>
      </w:r>
      <w:r w:rsidR="004A2CB5">
        <w:rPr>
          <w:sz w:val="24"/>
          <w:szCs w:val="24"/>
          <w:lang w:val="bg-BG"/>
        </w:rPr>
        <w:t>в</w:t>
      </w:r>
      <w:r w:rsidR="009706BC">
        <w:rPr>
          <w:sz w:val="24"/>
          <w:szCs w:val="24"/>
          <w:lang w:val="bg-BG"/>
        </w:rPr>
        <w:t>а</w:t>
      </w:r>
      <w:r w:rsidR="004A2CB5">
        <w:rPr>
          <w:sz w:val="24"/>
          <w:szCs w:val="24"/>
          <w:lang w:val="bg-BG"/>
        </w:rPr>
        <w:t>.</w:t>
      </w:r>
    </w:p>
    <w:p w:rsidR="002E5287" w:rsidRDefault="00CE52F8" w:rsidP="004A2CB5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4A2CB5">
        <w:rPr>
          <w:sz w:val="24"/>
          <w:szCs w:val="24"/>
          <w:lang w:val="bg-BG"/>
        </w:rPr>
        <w:t>Съгласно ЗНЧ, читалището представя ежегодно пред кмета на общината и общинския съвет, доклад за осъществените читалищни дейности в изпълнение на годишната програма за дейността си и финансов отчет за изразходваните средства през предходната година. В тази връзка общият размер на изразходваните средства от собствен приход</w:t>
      </w:r>
      <w:r w:rsidR="00F65414">
        <w:rPr>
          <w:sz w:val="24"/>
          <w:szCs w:val="24"/>
          <w:lang w:val="bg-BG"/>
        </w:rPr>
        <w:t>, дарения</w:t>
      </w:r>
      <w:r w:rsidR="004A2CB5">
        <w:rPr>
          <w:sz w:val="24"/>
          <w:szCs w:val="24"/>
          <w:lang w:val="bg-BG"/>
        </w:rPr>
        <w:t xml:space="preserve"> и държавна субсидия, преведена чрез община Крумовград са разпределени както следва:</w:t>
      </w:r>
    </w:p>
    <w:p w:rsidR="001E5D54" w:rsidRDefault="001E5D54" w:rsidP="004A2CB5">
      <w:pPr>
        <w:spacing w:after="0" w:line="240" w:lineRule="auto"/>
        <w:rPr>
          <w:sz w:val="24"/>
          <w:szCs w:val="24"/>
          <w:lang w:val="bg-BG"/>
        </w:rPr>
      </w:pPr>
    </w:p>
    <w:p w:rsidR="001E5D54" w:rsidRDefault="001E5D54" w:rsidP="004A2CB5">
      <w:pPr>
        <w:spacing w:after="0" w:line="240" w:lineRule="auto"/>
        <w:rPr>
          <w:sz w:val="24"/>
          <w:szCs w:val="24"/>
          <w:lang w:val="bg-BG"/>
        </w:rPr>
      </w:pPr>
    </w:p>
    <w:p w:rsidR="004A2CB5" w:rsidRDefault="004A2CB5" w:rsidP="004A2CB5">
      <w:pPr>
        <w:spacing w:after="0" w:line="240" w:lineRule="auto"/>
        <w:rPr>
          <w:sz w:val="24"/>
          <w:szCs w:val="24"/>
          <w:lang w:val="bg-BG"/>
        </w:rPr>
      </w:pPr>
    </w:p>
    <w:tbl>
      <w:tblPr>
        <w:tblStyle w:val="a4"/>
        <w:tblW w:w="0" w:type="auto"/>
        <w:tblInd w:w="648" w:type="dxa"/>
        <w:tblLook w:val="04A0"/>
      </w:tblPr>
      <w:tblGrid>
        <w:gridCol w:w="900"/>
        <w:gridCol w:w="5490"/>
        <w:gridCol w:w="1440"/>
      </w:tblGrid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5490" w:type="dxa"/>
          </w:tcPr>
          <w:p w:rsidR="004A2CB5" w:rsidRDefault="004A2CB5" w:rsidP="004A2CB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Работна заплата</w:t>
            </w:r>
          </w:p>
        </w:tc>
        <w:tc>
          <w:tcPr>
            <w:tcW w:w="1440" w:type="dxa"/>
          </w:tcPr>
          <w:p w:rsidR="004A2CB5" w:rsidRDefault="001E5D54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10323</w:t>
            </w:r>
            <w:r w:rsidR="004A2CB5">
              <w:rPr>
                <w:sz w:val="24"/>
                <w:szCs w:val="24"/>
                <w:lang w:val="bg-BG"/>
              </w:rPr>
              <w:t>,</w:t>
            </w:r>
            <w:r w:rsidR="00DF18C9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>0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Осигурителни вноски</w:t>
            </w:r>
          </w:p>
        </w:tc>
        <w:tc>
          <w:tcPr>
            <w:tcW w:w="1440" w:type="dxa"/>
          </w:tcPr>
          <w:p w:rsidR="004A2CB5" w:rsidRDefault="001E5D54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</w:t>
            </w:r>
            <w:r w:rsidR="00DF18C9">
              <w:rPr>
                <w:sz w:val="24"/>
                <w:szCs w:val="24"/>
                <w:lang w:val="bg-BG"/>
              </w:rPr>
              <w:t>7</w:t>
            </w:r>
            <w:r>
              <w:rPr>
                <w:sz w:val="24"/>
                <w:szCs w:val="24"/>
                <w:lang w:val="bg-BG"/>
              </w:rPr>
              <w:t>3</w:t>
            </w:r>
            <w:r w:rsidR="004A2CB5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39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Банка ДСК-такси</w:t>
            </w:r>
          </w:p>
        </w:tc>
        <w:tc>
          <w:tcPr>
            <w:tcW w:w="1440" w:type="dxa"/>
          </w:tcPr>
          <w:p w:rsidR="004A2CB5" w:rsidRDefault="001E5D54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333</w:t>
            </w:r>
            <w:r w:rsidR="004A2CB5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50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Електроенергия</w:t>
            </w:r>
          </w:p>
        </w:tc>
        <w:tc>
          <w:tcPr>
            <w:tcW w:w="1440" w:type="dxa"/>
          </w:tcPr>
          <w:p w:rsidR="004A2CB5" w:rsidRDefault="001E5D54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193</w:t>
            </w:r>
            <w:r w:rsidR="004A2CB5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61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Интернет </w:t>
            </w:r>
          </w:p>
        </w:tc>
        <w:tc>
          <w:tcPr>
            <w:tcW w:w="1440" w:type="dxa"/>
          </w:tcPr>
          <w:p w:rsidR="004A2CB5" w:rsidRDefault="001E5D54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261</w:t>
            </w:r>
            <w:r w:rsidR="004A2CB5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60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Командировки</w:t>
            </w:r>
          </w:p>
        </w:tc>
        <w:tc>
          <w:tcPr>
            <w:tcW w:w="1440" w:type="dxa"/>
          </w:tcPr>
          <w:p w:rsidR="004A2CB5" w:rsidRDefault="001E5D54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</w:t>
            </w:r>
            <w:r w:rsidR="004A2CB5">
              <w:rPr>
                <w:sz w:val="24"/>
                <w:szCs w:val="24"/>
                <w:lang w:val="bg-BG"/>
              </w:rPr>
              <w:t>0,00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Счетоводни услуги</w:t>
            </w:r>
          </w:p>
        </w:tc>
        <w:tc>
          <w:tcPr>
            <w:tcW w:w="1440" w:type="dxa"/>
          </w:tcPr>
          <w:p w:rsidR="004A2CB5" w:rsidRDefault="00DF18C9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240</w:t>
            </w:r>
            <w:r w:rsidR="004A2CB5">
              <w:rPr>
                <w:sz w:val="24"/>
                <w:szCs w:val="24"/>
                <w:lang w:val="bg-BG"/>
              </w:rPr>
              <w:t>,00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Канцеларски материали</w:t>
            </w:r>
          </w:p>
        </w:tc>
        <w:tc>
          <w:tcPr>
            <w:tcW w:w="1440" w:type="dxa"/>
          </w:tcPr>
          <w:p w:rsidR="004A2CB5" w:rsidRDefault="00DF18C9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1E5D54">
              <w:rPr>
                <w:sz w:val="24"/>
                <w:szCs w:val="24"/>
                <w:lang w:val="bg-BG"/>
              </w:rPr>
              <w:t>1,6</w:t>
            </w:r>
            <w:r>
              <w:rPr>
                <w:sz w:val="24"/>
                <w:szCs w:val="24"/>
                <w:lang w:val="bg-BG"/>
              </w:rPr>
              <w:t>5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5490" w:type="dxa"/>
          </w:tcPr>
          <w:p w:rsidR="004A2CB5" w:rsidRDefault="002A1129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Винили и табела</w:t>
            </w:r>
          </w:p>
        </w:tc>
        <w:tc>
          <w:tcPr>
            <w:tcW w:w="1440" w:type="dxa"/>
          </w:tcPr>
          <w:p w:rsidR="004A2CB5" w:rsidRDefault="002A1129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188</w:t>
            </w:r>
            <w:r w:rsidR="00DF18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4A2CB5" w:rsidTr="004A2CB5">
        <w:tc>
          <w:tcPr>
            <w:tcW w:w="900" w:type="dxa"/>
          </w:tcPr>
          <w:p w:rsidR="004A2CB5" w:rsidRDefault="004A2CB5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</w:p>
        </w:tc>
        <w:tc>
          <w:tcPr>
            <w:tcW w:w="5490" w:type="dxa"/>
          </w:tcPr>
          <w:p w:rsidR="004A2CB5" w:rsidRDefault="004A2CB5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Обслужване на пожарогасител</w:t>
            </w:r>
          </w:p>
        </w:tc>
        <w:tc>
          <w:tcPr>
            <w:tcW w:w="1440" w:type="dxa"/>
          </w:tcPr>
          <w:p w:rsidR="004A2CB5" w:rsidRDefault="004A2CB5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10,00</w:t>
            </w:r>
          </w:p>
        </w:tc>
      </w:tr>
      <w:tr w:rsidR="00F65414" w:rsidTr="004A2CB5">
        <w:tc>
          <w:tcPr>
            <w:tcW w:w="900" w:type="dxa"/>
          </w:tcPr>
          <w:p w:rsidR="00F65414" w:rsidRDefault="00F65414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</w:t>
            </w:r>
          </w:p>
        </w:tc>
        <w:tc>
          <w:tcPr>
            <w:tcW w:w="5490" w:type="dxa"/>
          </w:tcPr>
          <w:p w:rsidR="00F65414" w:rsidRDefault="002A1129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Мъжка родопска носия</w:t>
            </w:r>
          </w:p>
        </w:tc>
        <w:tc>
          <w:tcPr>
            <w:tcW w:w="1440" w:type="dxa"/>
          </w:tcPr>
          <w:p w:rsidR="00F65414" w:rsidRDefault="002A1129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F65414">
              <w:rPr>
                <w:sz w:val="24"/>
                <w:szCs w:val="24"/>
                <w:lang w:val="bg-BG"/>
              </w:rPr>
              <w:t>00,00</w:t>
            </w:r>
          </w:p>
        </w:tc>
      </w:tr>
      <w:tr w:rsidR="00F65414" w:rsidTr="004A2CB5">
        <w:tc>
          <w:tcPr>
            <w:tcW w:w="900" w:type="dxa"/>
          </w:tcPr>
          <w:p w:rsidR="00F65414" w:rsidRDefault="00F65414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</w:p>
        </w:tc>
        <w:tc>
          <w:tcPr>
            <w:tcW w:w="5490" w:type="dxa"/>
          </w:tcPr>
          <w:p w:rsidR="00F65414" w:rsidRDefault="00DF18C9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Пълномощно</w:t>
            </w:r>
          </w:p>
        </w:tc>
        <w:tc>
          <w:tcPr>
            <w:tcW w:w="1440" w:type="dxa"/>
          </w:tcPr>
          <w:p w:rsidR="00F65414" w:rsidRDefault="002A1129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DF18C9">
              <w:rPr>
                <w:sz w:val="24"/>
                <w:szCs w:val="24"/>
                <w:lang w:val="bg-BG"/>
              </w:rPr>
              <w:t>,00</w:t>
            </w:r>
          </w:p>
        </w:tc>
      </w:tr>
      <w:tr w:rsidR="00F65414" w:rsidTr="004A2CB5">
        <w:tc>
          <w:tcPr>
            <w:tcW w:w="900" w:type="dxa"/>
          </w:tcPr>
          <w:p w:rsidR="00F65414" w:rsidRDefault="00DF18C9" w:rsidP="004A2CB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</w:t>
            </w:r>
          </w:p>
        </w:tc>
        <w:tc>
          <w:tcPr>
            <w:tcW w:w="5490" w:type="dxa"/>
          </w:tcPr>
          <w:p w:rsidR="00F65414" w:rsidRDefault="00DF18C9" w:rsidP="004A2CB5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Хонорари</w:t>
            </w:r>
          </w:p>
        </w:tc>
        <w:tc>
          <w:tcPr>
            <w:tcW w:w="1440" w:type="dxa"/>
          </w:tcPr>
          <w:p w:rsidR="00F65414" w:rsidRDefault="002A1129" w:rsidP="004A2CB5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337</w:t>
            </w:r>
            <w:r w:rsidR="00DF18C9">
              <w:rPr>
                <w:sz w:val="24"/>
                <w:szCs w:val="24"/>
                <w:lang w:val="bg-BG"/>
              </w:rPr>
              <w:t>,</w:t>
            </w:r>
            <w:r>
              <w:rPr>
                <w:sz w:val="24"/>
                <w:szCs w:val="24"/>
                <w:lang w:val="bg-BG"/>
              </w:rPr>
              <w:t>62</w:t>
            </w:r>
          </w:p>
        </w:tc>
      </w:tr>
    </w:tbl>
    <w:p w:rsidR="004A2CB5" w:rsidRDefault="004A2CB5" w:rsidP="004A2CB5">
      <w:pPr>
        <w:spacing w:after="0" w:line="240" w:lineRule="auto"/>
        <w:rPr>
          <w:sz w:val="24"/>
          <w:szCs w:val="24"/>
          <w:lang w:val="bg-BG"/>
        </w:rPr>
      </w:pPr>
    </w:p>
    <w:p w:rsidR="004A2CB5" w:rsidRDefault="004A2CB5" w:rsidP="004A2CB5">
      <w:pPr>
        <w:spacing w:after="0" w:line="240" w:lineRule="auto"/>
        <w:rPr>
          <w:sz w:val="24"/>
          <w:szCs w:val="24"/>
          <w:lang w:val="bg-BG"/>
        </w:rPr>
      </w:pPr>
    </w:p>
    <w:p w:rsidR="004A2CB5" w:rsidRDefault="004A2CB5" w:rsidP="004A2CB5">
      <w:pPr>
        <w:spacing w:after="0" w:line="240" w:lineRule="auto"/>
        <w:rPr>
          <w:sz w:val="24"/>
          <w:szCs w:val="24"/>
          <w:lang w:val="bg-BG"/>
        </w:rPr>
      </w:pPr>
    </w:p>
    <w:p w:rsidR="004A2CB5" w:rsidRDefault="004A2CB5" w:rsidP="004A2CB5">
      <w:pPr>
        <w:spacing w:after="0" w:line="240" w:lineRule="auto"/>
        <w:rPr>
          <w:sz w:val="24"/>
          <w:szCs w:val="24"/>
          <w:lang w:val="bg-BG"/>
        </w:rPr>
      </w:pPr>
    </w:p>
    <w:p w:rsidR="004A2CB5" w:rsidRDefault="002E5287" w:rsidP="004A2CB5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5B404E">
        <w:rPr>
          <w:sz w:val="24"/>
          <w:szCs w:val="24"/>
          <w:lang w:val="bg-BG"/>
        </w:rPr>
        <w:t xml:space="preserve"> Дата: 3</w:t>
      </w:r>
      <w:r w:rsidR="002A1129">
        <w:rPr>
          <w:sz w:val="24"/>
          <w:szCs w:val="24"/>
          <w:lang w:val="bg-BG"/>
        </w:rPr>
        <w:t>0.01.2020</w:t>
      </w:r>
      <w:r w:rsidR="004A2CB5">
        <w:rPr>
          <w:sz w:val="24"/>
          <w:szCs w:val="24"/>
          <w:lang w:val="bg-BG"/>
        </w:rPr>
        <w:t xml:space="preserve"> г.                                                                            Изготвил доклада:………………...</w:t>
      </w:r>
    </w:p>
    <w:p w:rsidR="00B0282F" w:rsidRPr="009D76EA" w:rsidRDefault="004A2CB5" w:rsidP="007540BD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с. Егрек                                                                                                                              /Ю. Хаджиев/                       </w:t>
      </w:r>
      <w:r w:rsidR="00D357D6" w:rsidRPr="004A2CB5">
        <w:rPr>
          <w:sz w:val="24"/>
          <w:szCs w:val="24"/>
          <w:lang w:val="bg-BG"/>
        </w:rPr>
        <w:t xml:space="preserve"> </w:t>
      </w:r>
      <w:r w:rsidR="0077469C" w:rsidRPr="004A2CB5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</w:t>
      </w:r>
      <w:r w:rsidR="009D76EA" w:rsidRPr="004A2CB5">
        <w:rPr>
          <w:sz w:val="24"/>
          <w:szCs w:val="24"/>
          <w:lang w:val="bg-BG"/>
        </w:rPr>
        <w:t xml:space="preserve">                                </w:t>
      </w:r>
    </w:p>
    <w:sectPr w:rsidR="00B0282F" w:rsidRPr="009D76EA" w:rsidSect="005B404E">
      <w:pgSz w:w="12240" w:h="15840"/>
      <w:pgMar w:top="1440" w:right="720" w:bottom="144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34F40"/>
    <w:multiLevelType w:val="hybridMultilevel"/>
    <w:tmpl w:val="7352A294"/>
    <w:lvl w:ilvl="0" w:tplc="7BD66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1E5CEF"/>
    <w:rsid w:val="000247A3"/>
    <w:rsid w:val="00071B39"/>
    <w:rsid w:val="00071D5F"/>
    <w:rsid w:val="00103963"/>
    <w:rsid w:val="0012215D"/>
    <w:rsid w:val="00131206"/>
    <w:rsid w:val="001B3F2A"/>
    <w:rsid w:val="001B540E"/>
    <w:rsid w:val="001E5CEF"/>
    <w:rsid w:val="001E5D54"/>
    <w:rsid w:val="002A1129"/>
    <w:rsid w:val="002D385D"/>
    <w:rsid w:val="002E5287"/>
    <w:rsid w:val="003171E7"/>
    <w:rsid w:val="00333A0B"/>
    <w:rsid w:val="004A2CB5"/>
    <w:rsid w:val="004B3BAE"/>
    <w:rsid w:val="00576D4D"/>
    <w:rsid w:val="005B404E"/>
    <w:rsid w:val="005E34D1"/>
    <w:rsid w:val="006E183E"/>
    <w:rsid w:val="006E3E82"/>
    <w:rsid w:val="007540BD"/>
    <w:rsid w:val="0077469C"/>
    <w:rsid w:val="007F013B"/>
    <w:rsid w:val="009706BC"/>
    <w:rsid w:val="009D76EA"/>
    <w:rsid w:val="00AA7EBC"/>
    <w:rsid w:val="00B0282F"/>
    <w:rsid w:val="00B7083E"/>
    <w:rsid w:val="00BD2C2F"/>
    <w:rsid w:val="00BF401B"/>
    <w:rsid w:val="00C23CD7"/>
    <w:rsid w:val="00C64F6B"/>
    <w:rsid w:val="00CD4F32"/>
    <w:rsid w:val="00CE52F8"/>
    <w:rsid w:val="00D003E1"/>
    <w:rsid w:val="00D1770F"/>
    <w:rsid w:val="00D357D6"/>
    <w:rsid w:val="00D45A8A"/>
    <w:rsid w:val="00DC319E"/>
    <w:rsid w:val="00DF18C9"/>
    <w:rsid w:val="00E049B5"/>
    <w:rsid w:val="00EC7D4D"/>
    <w:rsid w:val="00EF64F0"/>
    <w:rsid w:val="00F65414"/>
    <w:rsid w:val="00F86AB7"/>
    <w:rsid w:val="00F92DE3"/>
    <w:rsid w:val="00FA2678"/>
    <w:rsid w:val="00FA5050"/>
    <w:rsid w:val="00FA7D23"/>
    <w:rsid w:val="00FD7BDA"/>
    <w:rsid w:val="00FE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D6"/>
    <w:pPr>
      <w:ind w:left="720"/>
      <w:contextualSpacing/>
    </w:pPr>
  </w:style>
  <w:style w:type="table" w:styleId="a4">
    <w:name w:val="Table Grid"/>
    <w:basedOn w:val="a1"/>
    <w:uiPriority w:val="59"/>
    <w:rsid w:val="004A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62C8D-1F42-4F4C-B7EB-A6D2239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2020-01-30T14:37:00Z</cp:lastPrinted>
  <dcterms:created xsi:type="dcterms:W3CDTF">2018-03-23T07:22:00Z</dcterms:created>
  <dcterms:modified xsi:type="dcterms:W3CDTF">2020-01-30T14:40:00Z</dcterms:modified>
</cp:coreProperties>
</file>